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drawing>
          <wp:inline xmlns:a="http://schemas.openxmlformats.org/drawingml/2006/main" xmlns:pic="http://schemas.openxmlformats.org/drawingml/2006/picture">
            <wp:extent cx="4140000" cy="1807606"/>
            <wp:docPr id="1" name="Picture 1"/>
            <wp:cNvGraphicFramePr>
              <a:graphicFrameLocks noChangeAspect="1"/>
            </wp:cNvGraphicFramePr>
            <a:graphic>
              <a:graphicData uri="http://schemas.openxmlformats.org/drawingml/2006/picture">
                <pic:pic>
                  <pic:nvPicPr>
                    <pic:cNvPr id="0" name="7290F152-0C53-48CE-B400-836F2438D643.png"/>
                    <pic:cNvPicPr/>
                  </pic:nvPicPr>
                  <pic:blipFill>
                    <a:blip r:embed="rId10"/>
                    <a:stretch>
                      <a:fillRect/>
                    </a:stretch>
                  </pic:blipFill>
                  <pic:spPr>
                    <a:xfrm>
                      <a:off x="0" y="0"/>
                      <a:ext cx="4140000" cy="1807606"/>
                    </a:xfrm>
                    <a:prstGeom prst="rect"/>
                  </pic:spPr>
                </pic:pic>
              </a:graphicData>
            </a:graphic>
          </wp:inline>
        </w:drawing>
      </w:r>
    </w:p>
    <w:p>
      <w:pPr>
        <w:jc w:val="center"/>
      </w:pPr>
      <w:r>
        <w:rPr>
          <w:b/>
          <w:sz w:val="46"/>
        </w:rPr>
        <w:t>FINANCER LA PUISSANCE PRODUCTIVE ET SOCIÉTALE FRANÇAISE</w:t>
      </w:r>
    </w:p>
    <w:p>
      <w:pPr>
        <w:jc w:val="center"/>
      </w:pPr>
      <w:r>
        <w:rPr>
          <w:b/>
          <w:sz w:val="32"/>
        </w:rPr>
        <w:t>Architecture de 8 fonds souverains spécialisés</w:t>
      </w:r>
    </w:p>
    <w:p>
      <w:pPr>
        <w:jc w:val="center"/>
      </w:pPr>
      <w:r>
        <w:rPr>
          <w:i/>
        </w:rPr>
        <w:t>Capital productif • Souveraineté • Innovation • Inclusion • ESS • Export</w:t>
      </w:r>
    </w:p>
    <w:p>
      <w:pPr>
        <w:spacing w:after="160"/>
        <w:jc w:val="right"/>
      </w:pPr>
      <w:r>
        <w:rPr>
          <w:i/>
          <w:sz w:val="18"/>
        </w:rPr>
        <w:t>Août 2026</w:t>
      </w:r>
    </w:p>
    <w:p>
      <w:pPr>
        <w:pStyle w:val="Heading1"/>
      </w:pPr>
      <w:r>
        <w:t>Résumé exécutif</w:t>
      </w:r>
    </w:p>
    <w:p>
      <w:r>
        <w:t>Le projet repose sur une architecture cohérente de huit fonds souverains spécialisés. Le capital public agit comme catalyseur afin d’attirer l’épargne longue, les assureurs, les banques, les investisseurs institutionnels et d’autres capitaux privés vers des priorités économiques et sociétales.</w:t>
      </w:r>
    </w:p>
    <w:p>
      <w:r>
        <w:t>L’hypothèse d’environ 10 000 Md€ d’actifs financiers présents ou gérés dans l’écosystème financier français doit être utilisée comme ordre de grandeur de travail, et non comme une cagnotte disponible. Une faible réallocation volontaire des portefeuilles peut néanmoins représenter des montants considérables.</w:t>
      </w:r>
    </w:p>
    <w:p>
      <w:pPr>
        <w:pStyle w:val="Heading1"/>
      </w:pPr>
      <w:r>
        <w:t>1. Effet d’une réallocation marginale</w:t>
      </w:r>
    </w:p>
    <w:tbl>
      <w:tblPr>
        <w:tblStyle w:val="LightShading-Accent1"/>
        <w:tblW w:type="auto" w:w="0"/>
        <w:jc w:val="center"/>
        <w:tblLook w:firstColumn="1" w:firstRow="1" w:lastColumn="0" w:lastRow="0" w:noHBand="0" w:noVBand="1" w:val="04A0"/>
      </w:tblPr>
      <w:tblGrid>
        <w:gridCol w:w="4873"/>
        <w:gridCol w:w="4873"/>
      </w:tblGrid>
      <w:tr>
        <w:tc>
          <w:tcPr>
            <w:tcW w:type="dxa" w:w="4873"/>
          </w:tcPr>
          <w:p>
            <w:r>
              <w:t>Part d’une base illustrative de 10 000 Md€</w:t>
            </w:r>
          </w:p>
        </w:tc>
        <w:tc>
          <w:tcPr>
            <w:tcW w:type="dxa" w:w="4873"/>
          </w:tcPr>
          <w:p>
            <w:r>
              <w:t>Montant correspondant</w:t>
            </w:r>
          </w:p>
        </w:tc>
      </w:tr>
      <w:tr>
        <w:tc>
          <w:tcPr>
            <w:tcW w:type="dxa" w:w="4873"/>
          </w:tcPr>
          <w:p>
            <w:r>
              <w:t>0,5 %</w:t>
            </w:r>
          </w:p>
        </w:tc>
        <w:tc>
          <w:tcPr>
            <w:tcW w:type="dxa" w:w="4873"/>
          </w:tcPr>
          <w:p>
            <w:r>
              <w:t>50 Md€</w:t>
            </w:r>
          </w:p>
        </w:tc>
      </w:tr>
      <w:tr>
        <w:tc>
          <w:tcPr>
            <w:tcW w:type="dxa" w:w="4873"/>
          </w:tcPr>
          <w:p>
            <w:r>
              <w:t>1 %</w:t>
            </w:r>
          </w:p>
        </w:tc>
        <w:tc>
          <w:tcPr>
            <w:tcW w:type="dxa" w:w="4873"/>
          </w:tcPr>
          <w:p>
            <w:r>
              <w:t>100 Md€</w:t>
            </w:r>
          </w:p>
        </w:tc>
      </w:tr>
      <w:tr>
        <w:tc>
          <w:tcPr>
            <w:tcW w:type="dxa" w:w="4873"/>
          </w:tcPr>
          <w:p>
            <w:r>
              <w:t>2 %</w:t>
            </w:r>
          </w:p>
        </w:tc>
        <w:tc>
          <w:tcPr>
            <w:tcW w:type="dxa" w:w="4873"/>
          </w:tcPr>
          <w:p>
            <w:r>
              <w:t>200 Md€</w:t>
            </w:r>
          </w:p>
        </w:tc>
      </w:tr>
      <w:tr>
        <w:tc>
          <w:tcPr>
            <w:tcW w:type="dxa" w:w="4873"/>
          </w:tcPr>
          <w:p>
            <w:r>
              <w:t>3 %</w:t>
            </w:r>
          </w:p>
        </w:tc>
        <w:tc>
          <w:tcPr>
            <w:tcW w:type="dxa" w:w="4873"/>
          </w:tcPr>
          <w:p>
            <w:r>
              <w:t>300 Md€</w:t>
            </w:r>
          </w:p>
        </w:tc>
      </w:tr>
      <w:tr>
        <w:tc>
          <w:tcPr>
            <w:tcW w:type="dxa" w:w="4873"/>
          </w:tcPr>
          <w:p>
            <w:r>
              <w:t>5 %</w:t>
            </w:r>
          </w:p>
        </w:tc>
        <w:tc>
          <w:tcPr>
            <w:tcW w:type="dxa" w:w="4873"/>
          </w:tcPr>
          <w:p>
            <w:r>
              <w:t>500 Md€</w:t>
            </w:r>
          </w:p>
        </w:tc>
      </w:tr>
    </w:tbl>
    <w:p>
      <w:r>
        <w:t>Ces montants illustrent un potentiel de réallocation ; ils ne constituent pas un prélèvement obligatoire.</w:t>
      </w:r>
    </w:p>
    <w:p>
      <w:pPr>
        <w:pStyle w:val="Heading1"/>
      </w:pPr>
      <w:r>
        <w:t>2. Les 8 fonds souverains proposés</w:t>
      </w:r>
    </w:p>
    <w:p>
      <w:pPr>
        <w:pStyle w:val="Heading2"/>
      </w:pPr>
      <w:r>
        <w:t>2.1 Fonds Souverain Industrie France</w:t>
      </w:r>
    </w:p>
    <w:p>
      <w:r>
        <w:rPr>
          <w:b/>
        </w:rPr>
        <w:t>Taille cible indicative : 100 Md€</w:t>
      </w:r>
    </w:p>
    <w:p>
      <w:r>
        <w:t>Mission — Faire passer les PME au stade d’ETI et renforcer les groupes industriels français.</w:t>
      </w:r>
    </w:p>
    <w:p>
      <w:r>
        <w:t>Ciblage — Robotique, machines-outils, chimie, électronique, équipements électriques, ferroviaire, matériaux, agroalimentaire et medtech.</w:t>
      </w:r>
    </w:p>
    <w:p>
      <w:r>
        <w:t>Instruments — Fonds propres, quasi-fonds propres, obligations convertibles et co-investissements.</w:t>
      </w:r>
    </w:p>
    <w:p>
      <w:pPr>
        <w:pStyle w:val="Heading2"/>
      </w:pPr>
      <w:r>
        <w:t>2.2 Fonds Souverain Technologies &amp; Innovation</w:t>
      </w:r>
    </w:p>
    <w:p>
      <w:r>
        <w:rPr>
          <w:b/>
        </w:rPr>
        <w:t>Taille cible indicative : 75 Md€</w:t>
      </w:r>
    </w:p>
    <w:p>
      <w:r>
        <w:t>Mission — Financer les champions technologiques jusqu’aux tours de plusieurs centaines de millions ou plusieurs milliards d’euros.</w:t>
      </w:r>
    </w:p>
    <w:p>
      <w:r>
        <w:t>Ciblage — IA, semi-conducteurs, quantique, cybersécurité, cloud, logiciels, biotech, medtech, robotique et spatial.</w:t>
      </w:r>
    </w:p>
    <w:p>
      <w:r>
        <w:t>Instruments — Capital-développement, late-stage, rachats secondaires stratégiques et financement industriel.</w:t>
      </w:r>
    </w:p>
    <w:p>
      <w:pPr>
        <w:pStyle w:val="Heading2"/>
      </w:pPr>
      <w:r>
        <w:t>2.3 Fonds Souverain Énergie &amp; Infrastructures</w:t>
      </w:r>
    </w:p>
    <w:p>
      <w:r>
        <w:rPr>
          <w:b/>
        </w:rPr>
        <w:t>Taille cible indicative : 125 Md€</w:t>
      </w:r>
    </w:p>
    <w:p>
      <w:r>
        <w:t>Mission — Financer les infrastructures longues indispensables à la compétitivité nationale.</w:t>
      </w:r>
    </w:p>
    <w:p>
      <w:r>
        <w:t>Ciblage — Nucléaire, réseaux électriques, stockage, hydraulique, renouvelables, ferroviaire, ports, eau et infrastructures numériques.</w:t>
      </w:r>
    </w:p>
    <w:p>
      <w:r>
        <w:t>Instruments — Capital de projet, dette longue et obligations d’infrastructure.</w:t>
      </w:r>
    </w:p>
    <w:p>
      <w:pPr>
        <w:pStyle w:val="Heading2"/>
      </w:pPr>
      <w:r>
        <w:t>2.4 Fonds Souverain Défense &amp; Souveraineté</w:t>
      </w:r>
    </w:p>
    <w:p>
      <w:r>
        <w:rPr>
          <w:b/>
        </w:rPr>
        <w:t>Taille cible indicative : 50 Md€</w:t>
      </w:r>
    </w:p>
    <w:p>
      <w:r>
        <w:t>Mission — Accroître les capacités industrielles dans les domaines stratégiques.</w:t>
      </w:r>
    </w:p>
    <w:p>
      <w:r>
        <w:t>Ciblage — Défense, drones, spatial, satellites, cybersécurité, électronique et composants critiques.</w:t>
      </w:r>
    </w:p>
    <w:p>
      <w:r>
        <w:t>Instruments — Capital patient, dette longue et financement d’augmentation de capacité.</w:t>
      </w:r>
    </w:p>
    <w:p>
      <w:pPr>
        <w:pStyle w:val="Heading2"/>
      </w:pPr>
      <w:r>
        <w:t>2.5 Fonds Souverain Export &amp; Internationalisation</w:t>
      </w:r>
    </w:p>
    <w:p>
      <w:r>
        <w:rPr>
          <w:b/>
        </w:rPr>
        <w:t>Taille cible indicative : 50 Md€</w:t>
      </w:r>
    </w:p>
    <w:p>
      <w:r>
        <w:t>Mission — Aider les entreprises françaises à acquérir des concurrents, créer des filiales et accélérer leur expansion mondiale.</w:t>
      </w:r>
    </w:p>
    <w:p>
      <w:r>
        <w:t>Ciblage — PME, ETI et groupes français disposant d’une stratégie internationale.</w:t>
      </w:r>
    </w:p>
    <w:p>
      <w:r>
        <w:t>Instruments — Co-investissement dans les acquisitions, fonds propres et financements structurés.</w:t>
      </w:r>
    </w:p>
    <w:p>
      <w:pPr>
        <w:pStyle w:val="Heading2"/>
      </w:pPr>
      <w:r>
        <w:t>2.6 Fonds Souverain Ressources Stratégiques</w:t>
      </w:r>
    </w:p>
    <w:p>
      <w:r>
        <w:rPr>
          <w:b/>
        </w:rPr>
        <w:t>Taille cible indicative : 50 Md€</w:t>
      </w:r>
    </w:p>
    <w:p>
      <w:r>
        <w:t>Mission — Sécuriser l’accès aux matières premières critiques nécessaires à l’industrie.</w:t>
      </w:r>
    </w:p>
    <w:p>
      <w:r>
        <w:t>Ciblage — Lithium, cuivre, nickel, uranium, terres rares, raffinage, recyclage et chaînes logistiques.</w:t>
      </w:r>
    </w:p>
    <w:p>
      <w:r>
        <w:t>Instruments — Participations dans des actifs en France et à l’étranger, contrats longs et co-investissements.</w:t>
      </w:r>
    </w:p>
    <w:p>
      <w:pPr>
        <w:pStyle w:val="Heading2"/>
      </w:pPr>
      <w:r>
        <w:t>2.7 Fonds Souverain de Consolidation</w:t>
      </w:r>
    </w:p>
    <w:p>
      <w:r>
        <w:rPr>
          <w:b/>
        </w:rPr>
        <w:t>Taille cible indicative : 50 Md€</w:t>
      </w:r>
    </w:p>
    <w:p>
      <w:r>
        <w:t>Mission — Permettre aux PME et ETI françaises de devenir consolidateurs européens plutôt que cibles de rachats.</w:t>
      </w:r>
    </w:p>
    <w:p>
      <w:r>
        <w:t>Ciblage — Entreprises capables de consolider un marché fragmenté en Europe.</w:t>
      </w:r>
    </w:p>
    <w:p>
      <w:r>
        <w:t>Instruments — Capital d’acquisition, co-investissement, obligations convertibles et financement de build-up.</w:t>
      </w:r>
    </w:p>
    <w:p>
      <w:pPr>
        <w:pStyle w:val="Heading2"/>
      </w:pPr>
      <w:r>
        <w:t>2.8 Fonds Souverain Innovation Inclusive, Handicap &amp; ESS</w:t>
      </w:r>
    </w:p>
    <w:p>
      <w:r>
        <w:rPr>
          <w:b/>
        </w:rPr>
        <w:t>Taille cible indicative : 50 Md€</w:t>
      </w:r>
    </w:p>
    <w:p>
      <w:r>
        <w:t>Mission — Financer des entreprises produisant simultanément valeur économique, innovation et dividende sociétal.</w:t>
      </w:r>
    </w:p>
    <w:p>
      <w:r>
        <w:t>Ciblage — Handicap, autonomie, vieillissement, accessibilité, entreprises adaptées, ESS, mobilité, robotique d’assistance, logiciels accessibles, habitat, emploi, dispositifs et services inclusifs.</w:t>
      </w:r>
    </w:p>
    <w:p>
      <w:r>
        <w:t>Instruments — Capital patient, titres participatifs, dette longue, prêts subordonnés, garanties et financements mixtes.</w:t>
      </w:r>
    </w:p>
    <w:p>
      <w:r>
        <w:t>Ce fonds introduit la notion de triple rendement : rendement financier, création de valeur économique et dividende sociétal. Il ne s’agit pas d’enfermer les entreprises du handicap dans un marché spécialisé, mais de financer leur passage vers des marchés plus larges lorsque leurs innovations ont une utilité universelle.</w:t>
      </w:r>
    </w:p>
    <w:p>
      <w:r>
        <w:t>Exemple de trajectoire : innovation destinée au handicap → industrialisation → adaptation aux seniors et aux professionnels → marché grand public → exportation. Une entreprise issue de l’innovation inclusive peut ainsi devenir une ETI technologique française.</w:t>
      </w:r>
    </w:p>
    <w:p>
      <w:pPr>
        <w:pStyle w:val="Heading1"/>
      </w:pPr>
      <w:r>
        <w:t>3. Architecture globale des 8 fonds</w:t>
      </w:r>
    </w:p>
    <w:tbl>
      <w:tblPr>
        <w:tblStyle w:val="LightShading-Accent1"/>
        <w:tblW w:type="auto" w:w="0"/>
        <w:jc w:val="center"/>
        <w:tblLook w:firstColumn="1" w:firstRow="1" w:lastColumn="0" w:lastRow="0" w:noHBand="0" w:noVBand="1" w:val="04A0"/>
      </w:tblPr>
      <w:tblGrid>
        <w:gridCol w:w="4873"/>
        <w:gridCol w:w="4873"/>
      </w:tblGrid>
      <w:tr>
        <w:tc>
          <w:tcPr>
            <w:tcW w:type="dxa" w:w="4873"/>
          </w:tcPr>
          <w:p>
            <w:r>
              <w:t>Fonds</w:t>
            </w:r>
          </w:p>
        </w:tc>
        <w:tc>
          <w:tcPr>
            <w:tcW w:type="dxa" w:w="4873"/>
          </w:tcPr>
          <w:p>
            <w:r>
              <w:t>Capacité cible</w:t>
            </w:r>
          </w:p>
        </w:tc>
      </w:tr>
      <w:tr>
        <w:tc>
          <w:tcPr>
            <w:tcW w:type="dxa" w:w="4873"/>
          </w:tcPr>
          <w:p>
            <w:r>
              <w:t>Fonds Souverain Industrie France</w:t>
            </w:r>
          </w:p>
        </w:tc>
        <w:tc>
          <w:tcPr>
            <w:tcW w:type="dxa" w:w="4873"/>
          </w:tcPr>
          <w:p>
            <w:r>
              <w:t>100 Md€</w:t>
            </w:r>
          </w:p>
        </w:tc>
      </w:tr>
      <w:tr>
        <w:tc>
          <w:tcPr>
            <w:tcW w:type="dxa" w:w="4873"/>
          </w:tcPr>
          <w:p>
            <w:r>
              <w:t>Fonds Souverain Technologies &amp; Innovation</w:t>
            </w:r>
          </w:p>
        </w:tc>
        <w:tc>
          <w:tcPr>
            <w:tcW w:type="dxa" w:w="4873"/>
          </w:tcPr>
          <w:p>
            <w:r>
              <w:t>75 Md€</w:t>
            </w:r>
          </w:p>
        </w:tc>
      </w:tr>
      <w:tr>
        <w:tc>
          <w:tcPr>
            <w:tcW w:type="dxa" w:w="4873"/>
          </w:tcPr>
          <w:p>
            <w:r>
              <w:t>Fonds Souverain Énergie &amp; Infrastructures</w:t>
            </w:r>
          </w:p>
        </w:tc>
        <w:tc>
          <w:tcPr>
            <w:tcW w:type="dxa" w:w="4873"/>
          </w:tcPr>
          <w:p>
            <w:r>
              <w:t>125 Md€</w:t>
            </w:r>
          </w:p>
        </w:tc>
      </w:tr>
      <w:tr>
        <w:tc>
          <w:tcPr>
            <w:tcW w:type="dxa" w:w="4873"/>
          </w:tcPr>
          <w:p>
            <w:r>
              <w:t>Fonds Souverain Défense &amp; Souveraineté</w:t>
            </w:r>
          </w:p>
        </w:tc>
        <w:tc>
          <w:tcPr>
            <w:tcW w:type="dxa" w:w="4873"/>
          </w:tcPr>
          <w:p>
            <w:r>
              <w:t>50 Md€</w:t>
            </w:r>
          </w:p>
        </w:tc>
      </w:tr>
      <w:tr>
        <w:tc>
          <w:tcPr>
            <w:tcW w:type="dxa" w:w="4873"/>
          </w:tcPr>
          <w:p>
            <w:r>
              <w:t>Fonds Souverain Export &amp; Internationalisation</w:t>
            </w:r>
          </w:p>
        </w:tc>
        <w:tc>
          <w:tcPr>
            <w:tcW w:type="dxa" w:w="4873"/>
          </w:tcPr>
          <w:p>
            <w:r>
              <w:t>50 Md€</w:t>
            </w:r>
          </w:p>
        </w:tc>
      </w:tr>
      <w:tr>
        <w:tc>
          <w:tcPr>
            <w:tcW w:type="dxa" w:w="4873"/>
          </w:tcPr>
          <w:p>
            <w:r>
              <w:t>Fonds Souverain Ressources Stratégiques</w:t>
            </w:r>
          </w:p>
        </w:tc>
        <w:tc>
          <w:tcPr>
            <w:tcW w:type="dxa" w:w="4873"/>
          </w:tcPr>
          <w:p>
            <w:r>
              <w:t>50 Md€</w:t>
            </w:r>
          </w:p>
        </w:tc>
      </w:tr>
      <w:tr>
        <w:tc>
          <w:tcPr>
            <w:tcW w:type="dxa" w:w="4873"/>
          </w:tcPr>
          <w:p>
            <w:r>
              <w:t>Fonds Souverain de Consolidation</w:t>
            </w:r>
          </w:p>
        </w:tc>
        <w:tc>
          <w:tcPr>
            <w:tcW w:type="dxa" w:w="4873"/>
          </w:tcPr>
          <w:p>
            <w:r>
              <w:t>50 Md€</w:t>
            </w:r>
          </w:p>
        </w:tc>
      </w:tr>
      <w:tr>
        <w:tc>
          <w:tcPr>
            <w:tcW w:type="dxa" w:w="4873"/>
          </w:tcPr>
          <w:p>
            <w:r>
              <w:t>Fonds Souverain Innovation Inclusive, Handicap &amp; ESS</w:t>
            </w:r>
          </w:p>
        </w:tc>
        <w:tc>
          <w:tcPr>
            <w:tcW w:type="dxa" w:w="4873"/>
          </w:tcPr>
          <w:p>
            <w:r>
              <w:t>50 Md€</w:t>
            </w:r>
          </w:p>
        </w:tc>
      </w:tr>
      <w:tr>
        <w:tc>
          <w:tcPr>
            <w:tcW w:type="dxa" w:w="4873"/>
          </w:tcPr>
          <w:p>
            <w:r>
              <w:rPr>
                <w:b/>
              </w:rPr>
              <w:t>TOTAL CIBLE</w:t>
            </w:r>
          </w:p>
        </w:tc>
        <w:tc>
          <w:tcPr>
            <w:tcW w:type="dxa" w:w="4873"/>
          </w:tcPr>
          <w:p>
            <w:r>
              <w:rPr>
                <w:b/>
              </w:rPr>
              <w:t>550 Md€</w:t>
            </w:r>
          </w:p>
        </w:tc>
      </w:tr>
    </w:tbl>
    <w:p>
      <w:pPr>
        <w:pStyle w:val="Heading1"/>
      </w:pPr>
      <w:r>
        <w:t>4. Le dividende sociétal comme critère d’investissement</w:t>
      </w:r>
    </w:p>
    <w:p>
      <w:r>
        <w:t>Le huitième fonds disposerait d’une grille d’évaluation spécifique. Le rendement attendu pourrait être ajusté lorsque l’investissement produit des externalités positives importantes et vérifiables.</w:t>
      </w:r>
    </w:p>
    <w:tbl>
      <w:tblPr>
        <w:tblStyle w:val="LightShading-Accent1"/>
        <w:tblW w:type="auto" w:w="0"/>
        <w:jc w:val="center"/>
        <w:tblLook w:firstColumn="1" w:firstRow="1" w:lastColumn="0" w:lastRow="0" w:noHBand="0" w:noVBand="1" w:val="04A0"/>
      </w:tblPr>
      <w:tblGrid>
        <w:gridCol w:w="2436"/>
        <w:gridCol w:w="2436"/>
        <w:gridCol w:w="2436"/>
        <w:gridCol w:w="2436"/>
      </w:tblGrid>
      <w:tr>
        <w:tc>
          <w:tcPr>
            <w:tcW w:type="dxa" w:w="2436"/>
          </w:tcPr>
          <w:p>
            <w:r>
              <w:t>Projet</w:t>
            </w:r>
          </w:p>
        </w:tc>
        <w:tc>
          <w:tcPr>
            <w:tcW w:type="dxa" w:w="2436"/>
          </w:tcPr>
          <w:p>
            <w:r>
              <w:t>Rendement financier</w:t>
            </w:r>
          </w:p>
        </w:tc>
        <w:tc>
          <w:tcPr>
            <w:tcW w:type="dxa" w:w="2436"/>
          </w:tcPr>
          <w:p>
            <w:r>
              <w:t>Dividende sociétal</w:t>
            </w:r>
          </w:p>
        </w:tc>
        <w:tc>
          <w:tcPr>
            <w:tcW w:type="dxa" w:w="2436"/>
          </w:tcPr>
          <w:p>
            <w:r>
              <w:t>Approche</w:t>
            </w:r>
          </w:p>
        </w:tc>
      </w:tr>
      <w:tr>
        <w:tc>
          <w:tcPr>
            <w:tcW w:type="dxa" w:w="2436"/>
          </w:tcPr>
          <w:p>
            <w:r>
              <w:t>Entreprise commerciale inclusive</w:t>
            </w:r>
          </w:p>
        </w:tc>
        <w:tc>
          <w:tcPr>
            <w:tcW w:type="dxa" w:w="2436"/>
          </w:tcPr>
          <w:p>
            <w:r>
              <w:t>Proche du marché</w:t>
            </w:r>
          </w:p>
        </w:tc>
        <w:tc>
          <w:tcPr>
            <w:tcW w:type="dxa" w:w="2436"/>
          </w:tcPr>
          <w:p>
            <w:r>
              <w:t>Complémentaire</w:t>
            </w:r>
          </w:p>
        </w:tc>
        <w:tc>
          <w:tcPr>
            <w:tcW w:type="dxa" w:w="2436"/>
          </w:tcPr>
          <w:p>
            <w:r>
              <w:t>Capital de croissance</w:t>
            </w:r>
          </w:p>
        </w:tc>
      </w:tr>
      <w:tr>
        <w:tc>
          <w:tcPr>
            <w:tcW w:type="dxa" w:w="2436"/>
          </w:tcPr>
          <w:p>
            <w:r>
              <w:t>Entreprise à forte utilité sociale</w:t>
            </w:r>
          </w:p>
        </w:tc>
        <w:tc>
          <w:tcPr>
            <w:tcW w:type="dxa" w:w="2436"/>
          </w:tcPr>
          <w:p>
            <w:r>
              <w:t>Modéré</w:t>
            </w:r>
          </w:p>
        </w:tc>
        <w:tc>
          <w:tcPr>
            <w:tcW w:type="dxa" w:w="2436"/>
          </w:tcPr>
          <w:p>
            <w:r>
              <w:t>Important</w:t>
            </w:r>
          </w:p>
        </w:tc>
        <w:tc>
          <w:tcPr>
            <w:tcW w:type="dxa" w:w="2436"/>
          </w:tcPr>
          <w:p>
            <w:r>
              <w:t>Capital patient / dette adaptée</w:t>
            </w:r>
          </w:p>
        </w:tc>
      </w:tr>
      <w:tr>
        <w:tc>
          <w:tcPr>
            <w:tcW w:type="dxa" w:w="2436"/>
          </w:tcPr>
          <w:p>
            <w:r>
              <w:t>Projet ESS stratégique</w:t>
            </w:r>
          </w:p>
        </w:tc>
        <w:tc>
          <w:tcPr>
            <w:tcW w:type="dxa" w:w="2436"/>
          </w:tcPr>
          <w:p>
            <w:r>
              <w:t>Faible mais positif</w:t>
            </w:r>
          </w:p>
        </w:tc>
        <w:tc>
          <w:tcPr>
            <w:tcW w:type="dxa" w:w="2436"/>
          </w:tcPr>
          <w:p>
            <w:r>
              <w:t>Très important</w:t>
            </w:r>
          </w:p>
        </w:tc>
        <w:tc>
          <w:tcPr>
            <w:tcW w:type="dxa" w:w="2436"/>
          </w:tcPr>
          <w:p>
            <w:r>
              <w:t>Financement mixte de long terme</w:t>
            </w:r>
          </w:p>
        </w:tc>
      </w:tr>
    </w:tbl>
    <w:p>
      <w:r>
        <w:rPr>
          <w:b/>
        </w:rPr>
        <w:t>Rendement global = rendement financier + création de valeur économique + dividende sociétal.</w:t>
      </w:r>
    </w:p>
    <w:p>
      <w:pPr>
        <w:pStyle w:val="Heading1"/>
      </w:pPr>
      <w:r>
        <w:t>5. De l’innovation inclusive au marché de masse</w:t>
      </w:r>
    </w:p>
    <w:tbl>
      <w:tblPr>
        <w:tblStyle w:val="LightShading-Accent1"/>
        <w:tblW w:type="auto" w:w="0"/>
        <w:jc w:val="center"/>
        <w:tblLook w:firstColumn="1" w:firstRow="1" w:lastColumn="0" w:lastRow="0" w:noHBand="0" w:noVBand="1" w:val="04A0"/>
      </w:tblPr>
      <w:tblGrid>
        <w:gridCol w:w="3249"/>
        <w:gridCol w:w="3249"/>
        <w:gridCol w:w="3249"/>
      </w:tblGrid>
      <w:tr>
        <w:tc>
          <w:tcPr>
            <w:tcW w:type="dxa" w:w="3249"/>
          </w:tcPr>
          <w:p>
            <w:r>
              <w:t>Phase</w:t>
            </w:r>
          </w:p>
        </w:tc>
        <w:tc>
          <w:tcPr>
            <w:tcW w:type="dxa" w:w="3249"/>
          </w:tcPr>
          <w:p>
            <w:r>
              <w:t>Montant illustratif</w:t>
            </w:r>
          </w:p>
        </w:tc>
        <w:tc>
          <w:tcPr>
            <w:tcW w:type="dxa" w:w="3249"/>
          </w:tcPr>
          <w:p>
            <w:r>
              <w:t>Objectif</w:t>
            </w:r>
          </w:p>
        </w:tc>
      </w:tr>
      <w:tr>
        <w:tc>
          <w:tcPr>
            <w:tcW w:type="dxa" w:w="3249"/>
          </w:tcPr>
          <w:p>
            <w:r>
              <w:t>1</w:t>
            </w:r>
          </w:p>
        </w:tc>
        <w:tc>
          <w:tcPr>
            <w:tcW w:type="dxa" w:w="3249"/>
          </w:tcPr>
          <w:p>
            <w:r>
              <w:t>2 M€</w:t>
            </w:r>
          </w:p>
        </w:tc>
        <w:tc>
          <w:tcPr>
            <w:tcW w:type="dxa" w:w="3249"/>
          </w:tcPr>
          <w:p>
            <w:r>
              <w:t>Développer et valider une solution pour le handicap ou l’autonomie</w:t>
            </w:r>
          </w:p>
        </w:tc>
      </w:tr>
      <w:tr>
        <w:tc>
          <w:tcPr>
            <w:tcW w:type="dxa" w:w="3249"/>
          </w:tcPr>
          <w:p>
            <w:r>
              <w:t>2</w:t>
            </w:r>
          </w:p>
        </w:tc>
        <w:tc>
          <w:tcPr>
            <w:tcW w:type="dxa" w:w="3249"/>
          </w:tcPr>
          <w:p>
            <w:r>
              <w:t>10 M€</w:t>
            </w:r>
          </w:p>
        </w:tc>
        <w:tc>
          <w:tcPr>
            <w:tcW w:type="dxa" w:w="3249"/>
          </w:tcPr>
          <w:p>
            <w:r>
              <w:t>Industrialiser, certifier et structurer la commercialisation</w:t>
            </w:r>
          </w:p>
        </w:tc>
      </w:tr>
      <w:tr>
        <w:tc>
          <w:tcPr>
            <w:tcW w:type="dxa" w:w="3249"/>
          </w:tcPr>
          <w:p>
            <w:r>
              <w:t>3</w:t>
            </w:r>
          </w:p>
        </w:tc>
        <w:tc>
          <w:tcPr>
            <w:tcW w:type="dxa" w:w="3249"/>
          </w:tcPr>
          <w:p>
            <w:r>
              <w:t>30 M€</w:t>
            </w:r>
          </w:p>
        </w:tc>
        <w:tc>
          <w:tcPr>
            <w:tcW w:type="dxa" w:w="3249"/>
          </w:tcPr>
          <w:p>
            <w:r>
              <w:t>Adapter la solution aux seniors, professionnels et grand public</w:t>
            </w:r>
          </w:p>
        </w:tc>
      </w:tr>
      <w:tr>
        <w:tc>
          <w:tcPr>
            <w:tcW w:type="dxa" w:w="3249"/>
          </w:tcPr>
          <w:p>
            <w:r>
              <w:t>4</w:t>
            </w:r>
          </w:p>
        </w:tc>
        <w:tc>
          <w:tcPr>
            <w:tcW w:type="dxa" w:w="3249"/>
          </w:tcPr>
          <w:p>
            <w:r>
              <w:t>50 M€</w:t>
            </w:r>
          </w:p>
        </w:tc>
        <w:tc>
          <w:tcPr>
            <w:tcW w:type="dxa" w:w="3249"/>
          </w:tcPr>
          <w:p>
            <w:r>
              <w:t>Déployer en Europe et à l’international</w:t>
            </w:r>
          </w:p>
        </w:tc>
      </w:tr>
    </w:tbl>
    <w:p>
      <w:r>
        <w:t>Les montants sont illustratifs. Une entreprise mature pourrait ensuite basculer vers le Fonds Industrie, Technologies &amp; Innovation ou Export afin d’éviter que l’étiquette « sociale » limite sa croissance.</w:t>
      </w:r>
    </w:p>
    <w:p>
      <w:pPr>
        <w:pStyle w:val="Heading1"/>
      </w:pPr>
      <w:r>
        <w:t>6. Provenance possible des capitaux</w:t>
      </w:r>
    </w:p>
    <w:p>
      <w:r>
        <w:t>À titre de scénario, les 550 Md€ de capacité cible pourraient associer capital public, investisseurs institutionnels et autres capitaux privés. La répartition ne devrait pas être uniforme : les infrastructures peuvent accueillir davantage de dette longue institutionnelle, tandis que la technologie ou l’innovation inclusive nécessitent davantage de fonds propres patients.</w:t>
      </w:r>
    </w:p>
    <w:p>
      <w:r>
        <w:t>Le principe est de préserver la liberté d’allocation et les contraintes prudentielles des investisseurs. Les fonds doivent constituer une classe d’actifs attractive, pas un mécanisme de réquisition de l’épargne.</w:t>
      </w:r>
    </w:p>
    <w:p>
      <w:pPr>
        <w:pStyle w:val="Heading1"/>
      </w:pPr>
      <w:r>
        <w:t>7. Effet de levier et co-investissement</w:t>
      </w:r>
    </w:p>
    <w:p>
      <w:r>
        <w:t>Les 550 Md€ constituent une capacité cible de fonds et capitaux longs, non une dépense budgétaire. En attirant banques, industriels et co-investisseurs, l’architecture pourrait contribuer à déclencher un volume d’investissement supérieur. Tout chiffre d’effet de levier doit rester présenté comme un scénario, non comme une prévision.</w:t>
      </w:r>
    </w:p>
    <w:p>
      <w:pPr>
        <w:pStyle w:val="Heading1"/>
      </w:pPr>
      <w:r>
        <w:t>8. Recycler les succès</w:t>
      </w:r>
    </w:p>
    <w:p>
      <w:r>
        <w:t>Les dividendes, intérêts et plus-values seraient réinvestis. Pour le Fonds Innovation Inclusive, Handicap &amp; ESS, une fraction des plus-values pourrait être sanctuarisée pour financer de nouvelles entreprises à fort dividende sociétal, créant progressivement un capital permanent plutôt qu’une succession de subventions.</w:t>
      </w:r>
    </w:p>
    <w:p>
      <w:pPr>
        <w:pStyle w:val="Heading1"/>
      </w:pPr>
      <w:r>
        <w:t>9. Gouvernance</w:t>
      </w:r>
    </w:p>
    <w:p>
      <w:pPr>
        <w:pStyle w:val="ListBullet"/>
      </w:pPr>
      <w:r>
        <w:t>Conseils d’administration indépendants associant État, investisseurs et professionnels.</w:t>
      </w:r>
    </w:p>
    <w:p>
      <w:pPr>
        <w:pStyle w:val="ListBullet"/>
      </w:pPr>
      <w:r>
        <w:t>Mandats précis de rendement, risque, souveraineté et impact.</w:t>
      </w:r>
    </w:p>
    <w:p>
      <w:pPr>
        <w:pStyle w:val="ListBullet"/>
      </w:pPr>
      <w:r>
        <w:t>Décisions d’investissement professionnelles, sans intervention politique dossier par dossier.</w:t>
      </w:r>
    </w:p>
    <w:p>
      <w:pPr>
        <w:pStyle w:val="ListBullet"/>
      </w:pPr>
      <w:r>
        <w:t>Publication annuelle des rendements, risques, investissements déclenchés et impacts économiques.</w:t>
      </w:r>
    </w:p>
    <w:p>
      <w:pPr>
        <w:pStyle w:val="ListBullet"/>
      </w:pPr>
      <w:r>
        <w:t>Pour le fonds inclusif : indicateurs vérifiables d’emploi, autonomie, accessibilité, bénéficiaires et diffusion au marché général.</w:t>
      </w:r>
    </w:p>
    <w:p>
      <w:pPr>
        <w:pStyle w:val="ListBullet"/>
      </w:pPr>
      <w:r>
        <w:t>Limites de concentration par entreprise, secteur, technologie et géographie.</w:t>
      </w:r>
    </w:p>
    <w:p>
      <w:pPr>
        <w:pStyle w:val="Heading1"/>
      </w:pPr>
      <w:r>
        <w:t>10. Doctrine générale</w:t>
      </w:r>
    </w:p>
    <w:p>
      <w:r>
        <w:rPr>
          <w:b/>
        </w:rPr>
        <w:t>Transformer une fraction de l’épargne longue en capital productif et sociétal ; utiliser le capital public comme catalyseur ; faire coexister rendement financier et objectifs de souveraineté ; reconnaître qu’une innovation sociale peut devenir une innovation de masse ; et construire huit véhicules spécialisés capables de financer les entreprises de leur création à leur expansion mondiale.</w:t>
      </w:r>
    </w:p>
    <w:p>
      <w:pPr>
        <w:pStyle w:val="Heading1"/>
      </w:pPr>
      <w:r>
        <w:t>11. Précaution sur l’ordre de grandeur des actifs financiers</w:t>
      </w:r>
    </w:p>
    <w:p>
      <w:r>
        <w:t>Avant publication politique ou institutionnelle, le chiffre de 10 000 Md€ devra être documenté avec un périmètre statistique précis afin d’éviter les doubles comptes entre actifs des ménages, placements des assureurs, fonds et autres intermédiaires. Le raisonnement stratégique reste valable : une faible réallocation d’un stock financier très important peut fournir une capacité de financement significative.</w:t>
      </w:r>
    </w:p>
    <w:p>
      <w:pPr>
        <w:pStyle w:val="Heading1"/>
      </w:pPr>
      <w:r>
        <w:t>12. Dividende Productif et Sociétal (DPS)</w:t>
      </w:r>
    </w:p>
    <w:p>
      <w:r>
        <w:t>Le Dividende Productif et Sociétal constituerait un mécanisme permanent d’alimentation des huit fonds souverains. Son inspiration est simple : encourager les grandes entreprises à affecter volontairement une fraction de leurs bénéfices à des investissements produisant à la fois rendement, puissance productive, souveraineté et impact sociétal.</w:t>
      </w:r>
    </w:p>
    <w:p>
      <w:r>
        <w:t>Le DPS ne serait pas conçu comme un nouvel impôt. Les entreprises participantes pourraient souscrire au capital des fonds, co-investir directement dans des projets agréés ou, pour certaines actions à très fort impact social, effectuer une contribution sans retour financier. Le cadre devrait être calibré juridiquement et fiscalement avant mise en œuvre.</w:t>
      </w:r>
    </w:p>
    <w:p>
      <w:pPr>
        <w:pStyle w:val="Heading2"/>
      </w:pPr>
      <w:r>
        <w:t>12.1 Trois niveaux d’engagement</w:t>
      </w:r>
    </w:p>
    <w:tbl>
      <w:tblPr>
        <w:tblStyle w:val="LightShading-Accent1"/>
        <w:tblW w:type="auto" w:w="0"/>
        <w:jc w:val="center"/>
        <w:tblLook w:firstColumn="1" w:firstRow="1" w:lastColumn="0" w:lastRow="0" w:noHBand="0" w:noVBand="1" w:val="04A0"/>
      </w:tblPr>
      <w:tblGrid>
        <w:gridCol w:w="3249"/>
        <w:gridCol w:w="3249"/>
        <w:gridCol w:w="3249"/>
      </w:tblGrid>
      <w:tr>
        <w:tc>
          <w:tcPr>
            <w:tcW w:type="dxa" w:w="3249"/>
          </w:tcPr>
          <w:p>
            <w:r>
              <w:t>Niveau</w:t>
            </w:r>
          </w:p>
        </w:tc>
        <w:tc>
          <w:tcPr>
            <w:tcW w:type="dxa" w:w="3249"/>
          </w:tcPr>
          <w:p>
            <w:r>
              <w:t>Part indicative du résultat net</w:t>
            </w:r>
          </w:p>
        </w:tc>
        <w:tc>
          <w:tcPr>
            <w:tcW w:type="dxa" w:w="3249"/>
          </w:tcPr>
          <w:p>
            <w:r>
              <w:t>Positionnement</w:t>
            </w:r>
          </w:p>
        </w:tc>
      </w:tr>
      <w:tr>
        <w:tc>
          <w:tcPr>
            <w:tcW w:type="dxa" w:w="3249"/>
          </w:tcPr>
          <w:p>
            <w:r>
              <w:t>Entreprise contributrice</w:t>
            </w:r>
          </w:p>
        </w:tc>
        <w:tc>
          <w:tcPr>
            <w:tcW w:type="dxa" w:w="3249"/>
          </w:tcPr>
          <w:p>
            <w:r>
              <w:t>5 %</w:t>
            </w:r>
          </w:p>
        </w:tc>
        <w:tc>
          <w:tcPr>
            <w:tcW w:type="dxa" w:w="3249"/>
          </w:tcPr>
          <w:p>
            <w:r>
              <w:t>Participation régulière au financement productif et sociétal</w:t>
            </w:r>
          </w:p>
        </w:tc>
      </w:tr>
      <w:tr>
        <w:tc>
          <w:tcPr>
            <w:tcW w:type="dxa" w:w="3249"/>
          </w:tcPr>
          <w:p>
            <w:r>
              <w:t>Entreprise partenaire</w:t>
            </w:r>
          </w:p>
        </w:tc>
        <w:tc>
          <w:tcPr>
            <w:tcW w:type="dxa" w:w="3249"/>
          </w:tcPr>
          <w:p>
            <w:r>
              <w:t>10 %</w:t>
            </w:r>
          </w:p>
        </w:tc>
        <w:tc>
          <w:tcPr>
            <w:tcW w:type="dxa" w:w="3249"/>
          </w:tcPr>
          <w:p>
            <w:r>
              <w:t>Engagement renforcé et pluriannuel</w:t>
            </w:r>
          </w:p>
        </w:tc>
      </w:tr>
      <w:tr>
        <w:tc>
          <w:tcPr>
            <w:tcW w:type="dxa" w:w="3249"/>
          </w:tcPr>
          <w:p>
            <w:r>
              <w:t>Entreprise à dividende sociétal renforcé</w:t>
            </w:r>
          </w:p>
        </w:tc>
        <w:tc>
          <w:tcPr>
            <w:tcW w:type="dxa" w:w="3249"/>
          </w:tcPr>
          <w:p>
            <w:r>
              <w:t>15 %</w:t>
            </w:r>
          </w:p>
        </w:tc>
        <w:tc>
          <w:tcPr>
            <w:tcW w:type="dxa" w:w="3249"/>
          </w:tcPr>
          <w:p>
            <w:r>
              <w:t>Niveau de référence inspiré d’expériences mutualistes</w:t>
            </w:r>
          </w:p>
        </w:tc>
      </w:tr>
    </w:tbl>
    <w:p>
      <w:pPr>
        <w:pStyle w:val="Heading2"/>
      </w:pPr>
      <w:r>
        <w:t>12.2 Trois formes de contribution</w:t>
      </w:r>
    </w:p>
    <w:p>
      <w:pPr>
        <w:pStyle w:val="ListBullet"/>
      </w:pPr>
      <w:r>
        <w:t>Investissement : souscription dans un ou plusieurs des huit fonds avec recherche d’un rendement financier.</w:t>
      </w:r>
    </w:p>
    <w:p>
      <w:pPr>
        <w:pStyle w:val="ListBullet"/>
      </w:pPr>
      <w:r>
        <w:t>Capital patient : financement à rendement plus modéré lorsque l’impact économique ou sociétal est particulièrement élevé.</w:t>
      </w:r>
    </w:p>
    <w:p>
      <w:pPr>
        <w:pStyle w:val="ListBullet"/>
      </w:pPr>
      <w:r>
        <w:t>Contribution sociétale : financement sans exigence de rendement pour des projets dont l’utilité collective justifie une logique proche du mécénat ou de la dotation.</w:t>
      </w:r>
    </w:p>
    <w:p>
      <w:pPr>
        <w:pStyle w:val="Heading2"/>
      </w:pPr>
      <w:r>
        <w:t>12.3 Liberté d’affectation encadrée</w:t>
      </w:r>
    </w:p>
    <w:p>
      <w:r>
        <w:t>Chaque entreprise pourrait choisir une partie de l’affectation de son DPS en fonction de son activité et de sa stratégie, tout en respectant un cadre de diversification. Une entreprise industrielle pourrait privilégier Industrie, Énergie et Ressources ; une entreprise numérique, Technologies et Innovation Inclusive ; un acteur financier pourrait répartir davantage entre Consolidation, Export et ESS.</w:t>
      </w:r>
    </w:p>
    <w:p>
      <w:pPr>
        <w:pStyle w:val="Heading2"/>
      </w:pPr>
      <w:r>
        <w:t>12.4 Scénarios macroéconomiques illustratifs</w:t>
      </w:r>
    </w:p>
    <w:tbl>
      <w:tblPr>
        <w:tblStyle w:val="LightShading-Accent1"/>
        <w:tblW w:type="auto" w:w="0"/>
        <w:jc w:val="center"/>
        <w:tblLook w:firstColumn="1" w:firstRow="1" w:lastColumn="0" w:lastRow="0" w:noHBand="0" w:noVBand="1" w:val="04A0"/>
      </w:tblPr>
      <w:tblGrid>
        <w:gridCol w:w="2436"/>
        <w:gridCol w:w="2436"/>
        <w:gridCol w:w="2436"/>
        <w:gridCol w:w="2436"/>
      </w:tblGrid>
      <w:tr>
        <w:tc>
          <w:tcPr>
            <w:tcW w:type="dxa" w:w="2436"/>
          </w:tcPr>
          <w:p>
            <w:r>
              <w:t>Résultats nets annuels du périmètre</w:t>
            </w:r>
          </w:p>
        </w:tc>
        <w:tc>
          <w:tcPr>
            <w:tcW w:type="dxa" w:w="2436"/>
          </w:tcPr>
          <w:p>
            <w:r>
              <w:t>DPS à 5 %</w:t>
            </w:r>
          </w:p>
        </w:tc>
        <w:tc>
          <w:tcPr>
            <w:tcW w:type="dxa" w:w="2436"/>
          </w:tcPr>
          <w:p>
            <w:r>
              <w:t>DPS à 10 %</w:t>
            </w:r>
          </w:p>
        </w:tc>
        <w:tc>
          <w:tcPr>
            <w:tcW w:type="dxa" w:w="2436"/>
          </w:tcPr>
          <w:p>
            <w:r>
              <w:t>DPS à 15 %</w:t>
            </w:r>
          </w:p>
        </w:tc>
      </w:tr>
      <w:tr>
        <w:tc>
          <w:tcPr>
            <w:tcW w:type="dxa" w:w="2436"/>
          </w:tcPr>
          <w:p>
            <w:r>
              <w:t>100 Md€</w:t>
            </w:r>
          </w:p>
        </w:tc>
        <w:tc>
          <w:tcPr>
            <w:tcW w:type="dxa" w:w="2436"/>
          </w:tcPr>
          <w:p>
            <w:r>
              <w:t>5 Md€/an</w:t>
            </w:r>
          </w:p>
        </w:tc>
        <w:tc>
          <w:tcPr>
            <w:tcW w:type="dxa" w:w="2436"/>
          </w:tcPr>
          <w:p>
            <w:r>
              <w:t>10 Md€/an</w:t>
            </w:r>
          </w:p>
        </w:tc>
        <w:tc>
          <w:tcPr>
            <w:tcW w:type="dxa" w:w="2436"/>
          </w:tcPr>
          <w:p>
            <w:r>
              <w:t>15 Md€/an</w:t>
            </w:r>
          </w:p>
        </w:tc>
      </w:tr>
      <w:tr>
        <w:tc>
          <w:tcPr>
            <w:tcW w:type="dxa" w:w="2436"/>
          </w:tcPr>
          <w:p>
            <w:r>
              <w:t>200 Md€</w:t>
            </w:r>
          </w:p>
        </w:tc>
        <w:tc>
          <w:tcPr>
            <w:tcW w:type="dxa" w:w="2436"/>
          </w:tcPr>
          <w:p>
            <w:r>
              <w:t>10 Md€/an</w:t>
            </w:r>
          </w:p>
        </w:tc>
        <w:tc>
          <w:tcPr>
            <w:tcW w:type="dxa" w:w="2436"/>
          </w:tcPr>
          <w:p>
            <w:r>
              <w:t>20 Md€/an</w:t>
            </w:r>
          </w:p>
        </w:tc>
        <w:tc>
          <w:tcPr>
            <w:tcW w:type="dxa" w:w="2436"/>
          </w:tcPr>
          <w:p>
            <w:r>
              <w:t>30 Md€/an</w:t>
            </w:r>
          </w:p>
        </w:tc>
      </w:tr>
      <w:tr>
        <w:tc>
          <w:tcPr>
            <w:tcW w:type="dxa" w:w="2436"/>
          </w:tcPr>
          <w:p>
            <w:r>
              <w:t>300 Md€</w:t>
            </w:r>
          </w:p>
        </w:tc>
        <w:tc>
          <w:tcPr>
            <w:tcW w:type="dxa" w:w="2436"/>
          </w:tcPr>
          <w:p>
            <w:r>
              <w:t>15 Md€/an</w:t>
            </w:r>
          </w:p>
        </w:tc>
        <w:tc>
          <w:tcPr>
            <w:tcW w:type="dxa" w:w="2436"/>
          </w:tcPr>
          <w:p>
            <w:r>
              <w:t>30 Md€/an</w:t>
            </w:r>
          </w:p>
        </w:tc>
        <w:tc>
          <w:tcPr>
            <w:tcW w:type="dxa" w:w="2436"/>
          </w:tcPr>
          <w:p>
            <w:r>
              <w:t>45 Md€/an</w:t>
            </w:r>
          </w:p>
        </w:tc>
      </w:tr>
    </w:tbl>
    <w:p>
      <w:r>
        <w:t>Exemple : si les entreprises participantes représentent 200 Md€ de résultats nets annuels et affectent en moyenne 10 %, le DPS représenterait 20 Md€ de flux annuels, soit 200 Md€ sur dix ans avant rendement, recyclage des plus-values et effet de levier. Ces chiffres sont des scénarios illustratifs et non des prévisions.</w:t>
      </w:r>
    </w:p>
    <w:p>
      <w:pPr>
        <w:pStyle w:val="Heading2"/>
      </w:pPr>
      <w:r>
        <w:t>12.5 Les trois moteurs de financement</w:t>
      </w:r>
    </w:p>
    <w:p>
      <w:pPr>
        <w:pStyle w:val="ListNumber"/>
      </w:pPr>
      <w:r>
        <w:t>Moteur 1 — Stock d’épargne : réallocation volontaire d’une faible fraction des actifs financiers vers les huit fonds.</w:t>
      </w:r>
    </w:p>
    <w:p>
      <w:pPr>
        <w:pStyle w:val="ListNumber"/>
      </w:pPr>
      <w:r>
        <w:t>Moteur 2 — Flux de bénéfices : alimentation annuelle par le Dividende Productif et Sociétal des entreprises participantes.</w:t>
      </w:r>
    </w:p>
    <w:p>
      <w:pPr>
        <w:pStyle w:val="ListNumber"/>
      </w:pPr>
      <w:r>
        <w:t>Moteur 3 — Rendement des fonds : dividendes, intérêts, remboursements et plus-values réinvestis dans de nouveaux projets.</w:t>
      </w:r>
    </w:p>
    <w:p>
      <w:pPr>
        <w:pStyle w:val="Heading2"/>
      </w:pPr>
      <w:r>
        <w:t>12.6 Exemple d’affectation d’un DPS</w:t>
      </w:r>
    </w:p>
    <w:p>
      <w:r>
        <w:t>Une grande entreprise réalisant 2 Md€ de résultat net et choisissant un DPS de 10 % affecterait 200 M€ au dispositif. Une répartition illustrative pourrait être la suivante :</w:t>
      </w:r>
    </w:p>
    <w:tbl>
      <w:tblPr>
        <w:tblStyle w:val="LightShading-Accent1"/>
        <w:tblW w:type="auto" w:w="0"/>
        <w:jc w:val="center"/>
        <w:tblLook w:firstColumn="1" w:firstRow="1" w:lastColumn="0" w:lastRow="0" w:noHBand="0" w:noVBand="1" w:val="04A0"/>
      </w:tblPr>
      <w:tblGrid>
        <w:gridCol w:w="4873"/>
        <w:gridCol w:w="4873"/>
      </w:tblGrid>
      <w:tr>
        <w:tc>
          <w:tcPr>
            <w:tcW w:type="dxa" w:w="4873"/>
          </w:tcPr>
          <w:p>
            <w:r>
              <w:t>Fonds</w:t>
            </w:r>
          </w:p>
        </w:tc>
        <w:tc>
          <w:tcPr>
            <w:tcW w:type="dxa" w:w="4873"/>
          </w:tcPr>
          <w:p>
            <w:r>
              <w:t>Affectation illustrative</w:t>
            </w:r>
          </w:p>
        </w:tc>
      </w:tr>
      <w:tr>
        <w:tc>
          <w:tcPr>
            <w:tcW w:type="dxa" w:w="4873"/>
          </w:tcPr>
          <w:p>
            <w:r>
              <w:t>Industrie France</w:t>
            </w:r>
          </w:p>
        </w:tc>
        <w:tc>
          <w:tcPr>
            <w:tcW w:type="dxa" w:w="4873"/>
          </w:tcPr>
          <w:p>
            <w:r>
              <w:t>50 M€</w:t>
            </w:r>
          </w:p>
        </w:tc>
      </w:tr>
      <w:tr>
        <w:tc>
          <w:tcPr>
            <w:tcW w:type="dxa" w:w="4873"/>
          </w:tcPr>
          <w:p>
            <w:r>
              <w:t>Technologies &amp; Innovation</w:t>
            </w:r>
          </w:p>
        </w:tc>
        <w:tc>
          <w:tcPr>
            <w:tcW w:type="dxa" w:w="4873"/>
          </w:tcPr>
          <w:p>
            <w:r>
              <w:t>30 M€</w:t>
            </w:r>
          </w:p>
        </w:tc>
      </w:tr>
      <w:tr>
        <w:tc>
          <w:tcPr>
            <w:tcW w:type="dxa" w:w="4873"/>
          </w:tcPr>
          <w:p>
            <w:r>
              <w:t>Énergie &amp; Infrastructures</w:t>
            </w:r>
          </w:p>
        </w:tc>
        <w:tc>
          <w:tcPr>
            <w:tcW w:type="dxa" w:w="4873"/>
          </w:tcPr>
          <w:p>
            <w:r>
              <w:t>35 M€</w:t>
            </w:r>
          </w:p>
        </w:tc>
      </w:tr>
      <w:tr>
        <w:tc>
          <w:tcPr>
            <w:tcW w:type="dxa" w:w="4873"/>
          </w:tcPr>
          <w:p>
            <w:r>
              <w:t>Défense &amp; Souveraineté</w:t>
            </w:r>
          </w:p>
        </w:tc>
        <w:tc>
          <w:tcPr>
            <w:tcW w:type="dxa" w:w="4873"/>
          </w:tcPr>
          <w:p>
            <w:r>
              <w:t>20 M€</w:t>
            </w:r>
          </w:p>
        </w:tc>
      </w:tr>
      <w:tr>
        <w:tc>
          <w:tcPr>
            <w:tcW w:type="dxa" w:w="4873"/>
          </w:tcPr>
          <w:p>
            <w:r>
              <w:t>Export &amp; Internationalisation</w:t>
            </w:r>
          </w:p>
        </w:tc>
        <w:tc>
          <w:tcPr>
            <w:tcW w:type="dxa" w:w="4873"/>
          </w:tcPr>
          <w:p>
            <w:r>
              <w:t>15 M€</w:t>
            </w:r>
          </w:p>
        </w:tc>
      </w:tr>
      <w:tr>
        <w:tc>
          <w:tcPr>
            <w:tcW w:type="dxa" w:w="4873"/>
          </w:tcPr>
          <w:p>
            <w:r>
              <w:t>Ressources Stratégiques</w:t>
            </w:r>
          </w:p>
        </w:tc>
        <w:tc>
          <w:tcPr>
            <w:tcW w:type="dxa" w:w="4873"/>
          </w:tcPr>
          <w:p>
            <w:r>
              <w:t>15 M€</w:t>
            </w:r>
          </w:p>
        </w:tc>
      </w:tr>
      <w:tr>
        <w:tc>
          <w:tcPr>
            <w:tcW w:type="dxa" w:w="4873"/>
          </w:tcPr>
          <w:p>
            <w:r>
              <w:t>Consolidation</w:t>
            </w:r>
          </w:p>
        </w:tc>
        <w:tc>
          <w:tcPr>
            <w:tcW w:type="dxa" w:w="4873"/>
          </w:tcPr>
          <w:p>
            <w:r>
              <w:t>15 M€</w:t>
            </w:r>
          </w:p>
        </w:tc>
      </w:tr>
      <w:tr>
        <w:tc>
          <w:tcPr>
            <w:tcW w:type="dxa" w:w="4873"/>
          </w:tcPr>
          <w:p>
            <w:r>
              <w:t>Innovation Inclusive, Handicap &amp; ESS</w:t>
            </w:r>
          </w:p>
        </w:tc>
        <w:tc>
          <w:tcPr>
            <w:tcW w:type="dxa" w:w="4873"/>
          </w:tcPr>
          <w:p>
            <w:r>
              <w:t>20 M€</w:t>
            </w:r>
          </w:p>
        </w:tc>
      </w:tr>
    </w:tbl>
    <w:p>
      <w:pPr>
        <w:pStyle w:val="Heading2"/>
      </w:pPr>
      <w:r>
        <w:t>12.7 Le DPS et le dividende sociétal</w:t>
      </w:r>
    </w:p>
    <w:p>
      <w:r>
        <w:t>Le DPS généralise la logique du dividende sociétal à l’ensemble de la puissance productive. Le huitième fonds conserve néanmoins une mission spécifique : financer des innovations et entreprises dont le bénéfice collectif est directement mesurable, notamment dans le handicap, l’autonomie, le vieillissement, l’insertion et l’économie sociale et solidaire.</w:t>
      </w:r>
    </w:p>
    <w:p>
      <w:r>
        <w:t>Une innovation inclusive réussie pourrait ensuite être financée par les autres fonds lorsqu’elle change d’échelle. Le système reconnaît ainsi qu’une solution née pour répondre au handicap peut devenir un produit grand public, une industrie française et, à terme, une activité exportatrice.</w:t>
      </w:r>
    </w:p>
    <w:p>
      <w:pPr>
        <w:pStyle w:val="Heading2"/>
      </w:pPr>
      <w:r>
        <w:t>12.8 Gouvernance et garde-fous</w:t>
      </w:r>
    </w:p>
    <w:p>
      <w:pPr>
        <w:pStyle w:val="ListBullet"/>
      </w:pPr>
      <w:r>
        <w:t>Publication annuelle des contributions et de leur affectation.</w:t>
      </w:r>
    </w:p>
    <w:p>
      <w:pPr>
        <w:pStyle w:val="ListBullet"/>
      </w:pPr>
      <w:r>
        <w:t>Séparation claire entre investissements rémunérés, capital patient et contributions sans rendement.</w:t>
      </w:r>
    </w:p>
    <w:p>
      <w:pPr>
        <w:pStyle w:val="ListBullet"/>
      </w:pPr>
      <w:r>
        <w:t>Absence d’intervention politique dans le choix individuel des participations.</w:t>
      </w:r>
    </w:p>
    <w:p>
      <w:pPr>
        <w:pStyle w:val="ListBullet"/>
      </w:pPr>
      <w:r>
        <w:t>Audit indépendant des performances financières et des impacts.</w:t>
      </w:r>
    </w:p>
    <w:p>
      <w:pPr>
        <w:pStyle w:val="ListBullet"/>
      </w:pPr>
      <w:r>
        <w:t>Prévention des conflits d’intérêts lorsqu’une entreprise contributrice co-investit dans sa propre filière.</w:t>
      </w:r>
    </w:p>
    <w:p>
      <w:pPr>
        <w:pStyle w:val="ListBullet"/>
      </w:pPr>
      <w:r>
        <w:t>Réexamen périodique du dispositif pour éviter qu’il ne se transforme en niche fiscale ou en obligation parafiscale opaque.</w:t>
      </w:r>
    </w:p>
    <w:p>
      <w:pPr>
        <w:pStyle w:val="Heading2"/>
      </w:pPr>
      <w:r>
        <w:t>12.9 Principe de circularité du capital</w:t>
      </w:r>
    </w:p>
    <w:p>
      <w:r>
        <w:rPr>
          <w:b/>
        </w:rPr>
        <w:t>Épargne longue → huit fonds souverains → entreprises et infrastructures → rendements et plus-values → réinvestissement ; en parallèle, bénéfices des entreprises → DPS → huit fonds → nouveaux investissements.</w:t>
      </w:r>
    </w:p>
    <w:p>
      <w:r>
        <w:t>Cette architecture vise à créer un capital stratégique permanent : le financement productif et sociétal n’est plus uniquement une dépense annuelle de l’État, mais un patrimoine financier collectif capable de se renouveler et de croître.</w:t>
      </w:r>
    </w:p>
    <w:p>
      <w:pPr>
        <w:pStyle w:val="Heading2"/>
      </w:pPr>
      <w:r>
        <w:t>12.10 Positionnement politique proposé</w:t>
      </w:r>
    </w:p>
    <w:p>
      <w:r>
        <w:rPr>
          <w:b/>
        </w:rPr>
        <w:t>« Une partie de la richesse créée chaque année finance la richesse productive et sociétale de demain. »</w:t>
      </w:r>
    </w:p>
    <w:p>
      <w:r>
        <w:t>Le DPS relierait ainsi les huit fonds autour d’une même doctrine : rendement financier lorsque cela est possible, capital patient lorsque cela est nécessaire, et dividende collectif lorsque l’impact économique, stratégique ou sociétal le justifie.</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France Productive — Architecture des 8 fonds souverains  •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